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</w:pPr>
      <w:bookmarkStart w:id="0" w:name="_GoBack"/>
      <w:bookmarkEnd w:id="0"/>
      <w:r w:rsidRPr="002E28E8">
        <w:rPr>
          <w:rFonts w:asciiTheme="minorHAnsi" w:eastAsiaTheme="minorHAnsi" w:hAnsiTheme="minorHAnsi" w:cstheme="minorBidi"/>
          <w:b/>
          <w:color w:val="2E74B5" w:themeColor="accent1" w:themeShade="BF"/>
          <w:sz w:val="36"/>
          <w:szCs w:val="36"/>
          <w:u w:val="single"/>
          <w:lang w:eastAsia="en-US"/>
        </w:rPr>
        <w:t>SAP 2009 software supplement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 xml:space="preserve"> 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(Technical Booklet F1 June 2022)</w:t>
      </w:r>
      <w:r w:rsidRPr="002E28E8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 xml:space="preserve"> 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This supplement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can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CB25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help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demonstrate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compliance with </w:t>
      </w:r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regulation 43B </w:t>
      </w:r>
      <w:r w:rsidR="00CB25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and 39 </w:t>
      </w:r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>(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Technical Booklet F1 </w:t>
      </w:r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paragraph </w:t>
      </w:r>
      <w:r w:rsidR="00CB25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2.17 to 2.22, 2.41 &amp; </w:t>
      </w:r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>2.</w:t>
      </w:r>
      <w:r w:rsidR="00CB2543">
        <w:rPr>
          <w:rFonts w:asciiTheme="minorHAnsi" w:eastAsiaTheme="minorHAnsi" w:hAnsiTheme="minorHAnsi" w:cstheme="minorBidi"/>
          <w:sz w:val="24"/>
          <w:szCs w:val="24"/>
          <w:lang w:eastAsia="en-US"/>
        </w:rPr>
        <w:t>48</w:t>
      </w:r>
      <w:proofErr w:type="gramStart"/>
      <w:r w:rsidR="00CB254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>)</w:t>
      </w:r>
      <w:proofErr w:type="gramEnd"/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using 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the Government’s Standard Assessment Procedure (SAP) for Energy Rating of Dwellin</w:t>
      </w:r>
      <w:r w:rsidR="004D6F36">
        <w:rPr>
          <w:rFonts w:asciiTheme="minorHAnsi" w:eastAsiaTheme="minorHAnsi" w:hAnsiTheme="minorHAnsi" w:cstheme="minorBidi"/>
          <w:sz w:val="24"/>
          <w:szCs w:val="24"/>
          <w:lang w:eastAsia="en-US"/>
        </w:rPr>
        <w:t>gs SAP 2009 software</w:t>
      </w:r>
      <w:r w:rsidR="0082457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Betterment over the target emissions rate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TER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from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SAP 2009 software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(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40% for houses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&amp;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25% for flats (Parag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raph 0.7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)</w:t>
      </w:r>
    </w:p>
    <w:p w:rsidR="002E28E8" w:rsidRPr="002E28E8" w:rsidRDefault="000A23A7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TER less</w:t>
      </w:r>
      <w:r w:rsidR="002E28E8"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Betterment %  </w:t>
      </w:r>
      <w:r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  ______</w:t>
      </w:r>
      <w:r w:rsidRPr="000A23A7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 xml:space="preserve"> -</w:t>
      </w:r>
      <w:r w:rsidR="002E28E8" w:rsidRPr="000A23A7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 xml:space="preserve"> </w:t>
      </w:r>
      <w:r w:rsidR="002E28E8"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____ </w:t>
      </w:r>
      <w:r w:rsidR="002E28E8" w:rsidRPr="000A23A7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>% =</w:t>
      </w:r>
      <w:r w:rsidR="002E28E8"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______         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</w:pPr>
      <w:r w:rsidRPr="002E28E8">
        <w:rPr>
          <w:rFonts w:asciiTheme="minorHAnsi" w:eastAsiaTheme="minorHAnsi" w:hAnsiTheme="minorHAnsi" w:cstheme="minorBid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BADA44" wp14:editId="0B5424F1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3167380" cy="24403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8E8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 xml:space="preserve">limits on building fabric performance. 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Limiting maximum U-value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Are the U-values for each of the elements no greater than limiting U-values (See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Table 2.2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) 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Yes / </w:t>
      </w:r>
      <w:proofErr w:type="gramStart"/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No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 xml:space="preserve"> 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?</w:t>
      </w:r>
      <w:proofErr w:type="gramEnd"/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Limiting extent of openings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Total area of openings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 xml:space="preserve"> ____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m2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Ratio openings to floor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lang w:eastAsia="en-US"/>
        </w:rPr>
        <w:t>____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%</w:t>
      </w:r>
    </w:p>
    <w:p w:rsidR="002E28E8" w:rsidRPr="002E28E8" w:rsidRDefault="003112A9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lastRenderedPageBreak/>
        <w:t>D</w:t>
      </w:r>
      <w:r w:rsid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oors &amp; glazing </w:t>
      </w:r>
      <w:r w:rsidR="002E28E8"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openings no greater than 25% of the floor </w:t>
      </w:r>
      <w:proofErr w:type="gramStart"/>
      <w:r w:rsidR="002E28E8"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area</w:t>
      </w:r>
      <w:r w:rsid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</w:t>
      </w:r>
      <w:r w:rsidR="002E28E8"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Yes</w:t>
      </w:r>
      <w:proofErr w:type="gramEnd"/>
      <w:r w:rsidR="002E28E8"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 / No</w:t>
      </w:r>
      <w:r w:rsidR="002E28E8"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?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Where answering no to either of above, a whole building area weighted U-value calculation will be required (Paragraph 2.44)</w:t>
      </w:r>
    </w:p>
    <w:p w:rsidR="002E28E8" w:rsidRPr="002E28E8" w:rsidRDefault="008F064E" w:rsidP="002E28E8">
      <w:pPr>
        <w:spacing w:after="160"/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R</w:t>
      </w:r>
      <w:r w:rsidR="002E28E8" w:rsidRPr="002E28E8">
        <w:rPr>
          <w:rFonts w:asciiTheme="minorHAnsi" w:eastAsiaTheme="minorHAnsi" w:hAnsiTheme="minorHAnsi" w:cstheme="minorBidi"/>
          <w:b/>
          <w:sz w:val="24"/>
          <w:szCs w:val="24"/>
          <w:u w:val="single"/>
          <w:lang w:eastAsia="en-US"/>
        </w:rPr>
        <w:t>enewable generating technologies</w:t>
      </w:r>
    </w:p>
    <w:p w:rsidR="002E28E8" w:rsidRPr="002E28E8" w:rsidRDefault="002E28E8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Are renewable generation technologies proposed to produce electricity 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Yes / </w:t>
      </w:r>
      <w:proofErr w:type="gramStart"/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No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?</w:t>
      </w:r>
      <w:proofErr w:type="gramEnd"/>
    </w:p>
    <w:p w:rsidR="002E28E8" w:rsidRPr="002E28E8" w:rsidRDefault="00942FBE" w:rsidP="002E28E8">
      <w:pPr>
        <w:spacing w:after="16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If answering y</w:t>
      </w:r>
      <w:r w:rsidR="002E28E8"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>es then complete the following:</w:t>
      </w:r>
    </w:p>
    <w:p w:rsidR="002E28E8" w:rsidRPr="003112A9" w:rsidRDefault="002E28E8" w:rsidP="003112A9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Confirm proposed type of connection to Northern Ireland Electricity Networks – </w:t>
      </w:r>
      <w:r w:rsidRPr="003112A9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export / non-export</w:t>
      </w:r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>?</w:t>
      </w:r>
    </w:p>
    <w:p w:rsidR="003112A9" w:rsidRDefault="002E28E8" w:rsidP="003112A9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For an export connection is a formal NIE connection offer available </w:t>
      </w:r>
    </w:p>
    <w:p w:rsidR="003112A9" w:rsidRDefault="002E28E8" w:rsidP="003112A9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112A9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Yes / </w:t>
      </w:r>
      <w:proofErr w:type="gramStart"/>
      <w:r w:rsidRPr="003112A9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No</w:t>
      </w:r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?</w:t>
      </w:r>
      <w:proofErr w:type="gramEnd"/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3112A9" w:rsidRDefault="002E28E8" w:rsidP="003112A9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For a non-export connection has evidence of compliance been provided at plans </w:t>
      </w:r>
      <w:r w:rsidR="0026331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application </w:t>
      </w:r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stage (Paragraphs 2.20 </w:t>
      </w:r>
      <w:r w:rsidR="003112A9"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>and 2.21</w:t>
      </w:r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) </w:t>
      </w:r>
    </w:p>
    <w:p w:rsidR="002E28E8" w:rsidRPr="003112A9" w:rsidRDefault="002E28E8" w:rsidP="003112A9">
      <w:pPr>
        <w:pStyle w:val="ListParagraph"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112A9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Yes / </w:t>
      </w:r>
      <w:proofErr w:type="gramStart"/>
      <w:r w:rsidRPr="003112A9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No</w:t>
      </w:r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?</w:t>
      </w:r>
      <w:proofErr w:type="gramEnd"/>
      <w:r w:rsidRPr="003112A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2E28E8" w:rsidRPr="002E28E8" w:rsidRDefault="002E28E8" w:rsidP="003112A9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Applicants and designer are aware that at completion stage formal confirmation will be required that an export connection has been provided or a report 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lastRenderedPageBreak/>
        <w:t xml:space="preserve">demonstrating compliance with a non-export connection will be required. </w:t>
      </w:r>
    </w:p>
    <w:p w:rsidR="00605DCE" w:rsidRPr="002E28E8" w:rsidRDefault="002E28E8" w:rsidP="002E28E8">
      <w:pPr>
        <w:spacing w:after="160"/>
        <w:ind w:left="720"/>
        <w:contextualSpacing/>
      </w:pP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 xml:space="preserve">Yes / </w:t>
      </w:r>
      <w:proofErr w:type="gramStart"/>
      <w:r w:rsidRPr="002E28E8">
        <w:rPr>
          <w:rFonts w:asciiTheme="minorHAnsi" w:eastAsiaTheme="minorHAnsi" w:hAnsiTheme="minorHAnsi" w:cstheme="minorBidi"/>
          <w:color w:val="2E74B5" w:themeColor="accent1" w:themeShade="BF"/>
          <w:sz w:val="24"/>
          <w:szCs w:val="24"/>
          <w:u w:val="single"/>
          <w:lang w:eastAsia="en-US"/>
        </w:rPr>
        <w:t>No</w:t>
      </w:r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?</w:t>
      </w:r>
      <w:proofErr w:type="gramEnd"/>
      <w:r w:rsidRPr="002E28E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sectPr w:rsidR="00605DCE" w:rsidRPr="002E28E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2D" w:rsidRDefault="0030032D">
      <w:r>
        <w:separator/>
      </w:r>
    </w:p>
  </w:endnote>
  <w:endnote w:type="continuationSeparator" w:id="0">
    <w:p w:rsidR="0030032D" w:rsidRDefault="003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F1B" w:rsidRPr="00555F1B" w:rsidRDefault="0004424B" w:rsidP="00555F1B">
    <w:pPr>
      <w:pStyle w:val="Reference"/>
      <w:rPr>
        <w:sz w:val="16"/>
      </w:rPr>
    </w:pPr>
    <w:r>
      <w:t xml:space="preserve">BCNI </w:t>
    </w:r>
    <w:r w:rsidR="00955035">
      <w:t>guidance on changes to part 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2D" w:rsidRDefault="0030032D">
      <w:r>
        <w:separator/>
      </w:r>
    </w:p>
  </w:footnote>
  <w:footnote w:type="continuationSeparator" w:id="0">
    <w:p w:rsidR="0030032D" w:rsidRDefault="0030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CE" w:rsidRDefault="00605DCE"/>
  <w:p w:rsidR="00605DCE" w:rsidRDefault="00367467">
    <w:pPr>
      <w:pStyle w:val="MainHead"/>
    </w:pPr>
    <w:r>
      <w:t>Derry City and Strabane District Council</w:t>
    </w:r>
  </w:p>
  <w:p w:rsidR="00605DCE" w:rsidRDefault="00367467">
    <w:pPr>
      <w:pStyle w:val="MainHead"/>
    </w:pPr>
    <w:r>
      <w:t>Building Control</w:t>
    </w:r>
  </w:p>
  <w:p w:rsidR="00605DCE" w:rsidRDefault="00605DCE"/>
  <w:p w:rsidR="00605DCE" w:rsidRDefault="00605DCE"/>
  <w:p w:rsidR="00605DCE" w:rsidRDefault="00367467">
    <w:r>
      <w:rPr>
        <w:noProof/>
      </w:rPr>
      <w:drawing>
        <wp:anchor distT="0" distB="0" distL="0" distR="0" simplePos="0" relativeHeight="895350" behindDoc="0" locked="0" layoutInCell="1" allowOverlap="1">
          <wp:simplePos x="0" y="0"/>
          <wp:positionH relativeFrom="page">
            <wp:posOffset>4900000</wp:posOffset>
          </wp:positionH>
          <wp:positionV relativeFrom="page">
            <wp:posOffset>540000</wp:posOffset>
          </wp:positionV>
          <wp:extent cx="1714500" cy="8953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3DA"/>
    <w:multiLevelType w:val="hybridMultilevel"/>
    <w:tmpl w:val="69D463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BB4709"/>
    <w:multiLevelType w:val="hybridMultilevel"/>
    <w:tmpl w:val="E1B0B8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E5C21"/>
    <w:multiLevelType w:val="hybridMultilevel"/>
    <w:tmpl w:val="2CB45488"/>
    <w:lvl w:ilvl="0" w:tplc="474C7F82">
      <w:start w:val="1"/>
      <w:numFmt w:val="bullet"/>
      <w:lvlText w:val="●"/>
      <w:lvlJc w:val="left"/>
      <w:pPr>
        <w:ind w:left="720" w:hanging="360"/>
      </w:pPr>
    </w:lvl>
    <w:lvl w:ilvl="1" w:tplc="388A54C0">
      <w:start w:val="1"/>
      <w:numFmt w:val="bullet"/>
      <w:lvlText w:val="○"/>
      <w:lvlJc w:val="left"/>
      <w:pPr>
        <w:ind w:left="1440" w:hanging="360"/>
      </w:pPr>
    </w:lvl>
    <w:lvl w:ilvl="2" w:tplc="CA362DAA">
      <w:start w:val="1"/>
      <w:numFmt w:val="bullet"/>
      <w:lvlText w:val="■"/>
      <w:lvlJc w:val="left"/>
      <w:pPr>
        <w:ind w:left="2160" w:hanging="360"/>
      </w:pPr>
    </w:lvl>
    <w:lvl w:ilvl="3" w:tplc="42DECDEC">
      <w:start w:val="1"/>
      <w:numFmt w:val="bullet"/>
      <w:lvlText w:val="●"/>
      <w:lvlJc w:val="left"/>
      <w:pPr>
        <w:ind w:left="2880" w:hanging="360"/>
      </w:pPr>
    </w:lvl>
    <w:lvl w:ilvl="4" w:tplc="4D66C6C6">
      <w:start w:val="1"/>
      <w:numFmt w:val="bullet"/>
      <w:lvlText w:val="○"/>
      <w:lvlJc w:val="left"/>
      <w:pPr>
        <w:ind w:left="3600" w:hanging="360"/>
      </w:pPr>
    </w:lvl>
    <w:lvl w:ilvl="5" w:tplc="53E6278C">
      <w:start w:val="1"/>
      <w:numFmt w:val="bullet"/>
      <w:lvlText w:val="■"/>
      <w:lvlJc w:val="left"/>
      <w:pPr>
        <w:ind w:left="4320" w:hanging="360"/>
      </w:pPr>
    </w:lvl>
    <w:lvl w:ilvl="6" w:tplc="A2C85BF2">
      <w:start w:val="1"/>
      <w:numFmt w:val="bullet"/>
      <w:lvlText w:val="●"/>
      <w:lvlJc w:val="left"/>
      <w:pPr>
        <w:ind w:left="5040" w:hanging="360"/>
      </w:pPr>
    </w:lvl>
    <w:lvl w:ilvl="7" w:tplc="B694C05E">
      <w:start w:val="1"/>
      <w:numFmt w:val="bullet"/>
      <w:lvlText w:val="●"/>
      <w:lvlJc w:val="left"/>
      <w:pPr>
        <w:ind w:left="5760" w:hanging="360"/>
      </w:pPr>
    </w:lvl>
    <w:lvl w:ilvl="8" w:tplc="554C980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86636A0"/>
    <w:multiLevelType w:val="hybridMultilevel"/>
    <w:tmpl w:val="226CE2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CE"/>
    <w:rsid w:val="00012E7C"/>
    <w:rsid w:val="0004424B"/>
    <w:rsid w:val="000A23A7"/>
    <w:rsid w:val="000C0038"/>
    <w:rsid w:val="00187A1C"/>
    <w:rsid w:val="001E57EC"/>
    <w:rsid w:val="00201CF0"/>
    <w:rsid w:val="0026331D"/>
    <w:rsid w:val="00287D4C"/>
    <w:rsid w:val="002D61C9"/>
    <w:rsid w:val="002E28E8"/>
    <w:rsid w:val="002F08EA"/>
    <w:rsid w:val="0030032D"/>
    <w:rsid w:val="003019C2"/>
    <w:rsid w:val="003112A9"/>
    <w:rsid w:val="00367467"/>
    <w:rsid w:val="004A36CC"/>
    <w:rsid w:val="004D6F36"/>
    <w:rsid w:val="00555F1B"/>
    <w:rsid w:val="00575090"/>
    <w:rsid w:val="005950A9"/>
    <w:rsid w:val="00605DCE"/>
    <w:rsid w:val="00646353"/>
    <w:rsid w:val="006B71AF"/>
    <w:rsid w:val="006E3569"/>
    <w:rsid w:val="00700921"/>
    <w:rsid w:val="007170DC"/>
    <w:rsid w:val="007264F0"/>
    <w:rsid w:val="0082457B"/>
    <w:rsid w:val="008770D2"/>
    <w:rsid w:val="008838A7"/>
    <w:rsid w:val="008F064E"/>
    <w:rsid w:val="00942FBE"/>
    <w:rsid w:val="00955035"/>
    <w:rsid w:val="00956470"/>
    <w:rsid w:val="009A10CC"/>
    <w:rsid w:val="009F6FE3"/>
    <w:rsid w:val="00A33D54"/>
    <w:rsid w:val="00AE02FD"/>
    <w:rsid w:val="00B0372F"/>
    <w:rsid w:val="00C55605"/>
    <w:rsid w:val="00C836F7"/>
    <w:rsid w:val="00CB2543"/>
    <w:rsid w:val="00CB6343"/>
    <w:rsid w:val="00D92764"/>
    <w:rsid w:val="00E20441"/>
    <w:rsid w:val="00E376B2"/>
    <w:rsid w:val="00E40F97"/>
    <w:rsid w:val="00E43863"/>
    <w:rsid w:val="00EC1304"/>
    <w:rsid w:val="00EF6E32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E21F01-5A1D-4A2A-BACB-46533011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rFonts w:ascii="Calibri" w:eastAsia="Calibri" w:hAnsi="Calibri" w:cs="Calibri"/>
      <w:color w:val="258FB3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NormalPara">
    <w:name w:val="Normal Para"/>
    <w:rPr>
      <w:rFonts w:ascii="Calibri" w:eastAsia="Calibri" w:hAnsi="Calibri" w:cs="Calibri"/>
      <w:sz w:val="24"/>
      <w:szCs w:val="24"/>
    </w:rPr>
  </w:style>
  <w:style w:type="paragraph" w:customStyle="1" w:styleId="MainHead">
    <w:name w:val="MainHead"/>
    <w:rPr>
      <w:rFonts w:ascii="Calibri" w:eastAsia="Calibri" w:hAnsi="Calibri" w:cs="Calibri"/>
      <w:color w:val="258FB3"/>
      <w:sz w:val="32"/>
      <w:szCs w:val="32"/>
    </w:rPr>
  </w:style>
  <w:style w:type="paragraph" w:customStyle="1" w:styleId="ColoredHeading">
    <w:name w:val="ColoredHeading"/>
    <w:rPr>
      <w:rFonts w:ascii="Calibri" w:eastAsia="Calibri" w:hAnsi="Calibri" w:cs="Calibri"/>
      <w:color w:val="BA0000"/>
      <w:sz w:val="48"/>
      <w:szCs w:val="48"/>
    </w:rPr>
  </w:style>
  <w:style w:type="paragraph" w:customStyle="1" w:styleId="Subhead">
    <w:name w:val="Subhead"/>
    <w:rPr>
      <w:rFonts w:ascii="Calibri" w:eastAsia="Calibri" w:hAnsi="Calibri" w:cs="Calibri"/>
      <w:b/>
      <w:bCs/>
      <w:sz w:val="24"/>
      <w:szCs w:val="24"/>
    </w:rPr>
  </w:style>
  <w:style w:type="paragraph" w:customStyle="1" w:styleId="Reference">
    <w:name w:val="Reference"/>
    <w:rPr>
      <w:rFonts w:ascii="Calibri" w:eastAsia="Calibri" w:hAnsi="Calibri" w:cs="Calibri"/>
      <w:i/>
      <w:iCs/>
      <w:color w:val="258FB3"/>
    </w:rPr>
  </w:style>
  <w:style w:type="paragraph" w:styleId="Header">
    <w:name w:val="header"/>
    <w:basedOn w:val="Normal"/>
    <w:link w:val="HeaderChar"/>
    <w:uiPriority w:val="99"/>
    <w:unhideWhenUsed/>
    <w:rsid w:val="00C83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6F7"/>
  </w:style>
  <w:style w:type="paragraph" w:styleId="Footer">
    <w:name w:val="footer"/>
    <w:basedOn w:val="Normal"/>
    <w:link w:val="FooterChar"/>
    <w:uiPriority w:val="99"/>
    <w:unhideWhenUsed/>
    <w:rsid w:val="00C83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seanna gillespie</cp:lastModifiedBy>
  <cp:revision>2</cp:revision>
  <dcterms:created xsi:type="dcterms:W3CDTF">2023-02-01T09:08:00Z</dcterms:created>
  <dcterms:modified xsi:type="dcterms:W3CDTF">2023-02-01T09:08:00Z</dcterms:modified>
</cp:coreProperties>
</file>